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>
  <w:body>
    <w:p>
      <w:pPr>
        <w:jc w:val="both"/>
      </w:pPr>
      <w:r>
        <w:rPr>
          <w:rFonts w:ascii="Times New Roman" w:hAnsi="Times New Roman" w:cs="Times New Roman"/>
          <w:sz w:val="24"/>
          <w:sz-cs w:val="24"/>
        </w:rPr>
        <w:t xml:space="preserve">Приложение 24</w:t>
      </w:r>
    </w:p>
    <w:p>
      <w:pPr>
        <w:jc w:val="both"/>
      </w:pPr>
      <w:r>
        <w:rPr>
          <w:rFonts w:ascii="Times New Roman" w:hAnsi="Times New Roman" w:cs="Times New Roman"/>
          <w:sz w:val="24"/>
          <w:sz-cs w:val="24"/>
        </w:rPr>
        <w:t xml:space="preserve">УТВЕРЖДЕН</w:t>
      </w:r>
    </w:p>
    <w:p>
      <w:pPr>
        <w:jc w:val="both"/>
      </w:pPr>
      <w:r>
        <w:rPr>
          <w:rFonts w:ascii="Times New Roman" w:hAnsi="Times New Roman" w:cs="Times New Roman"/>
          <w:sz w:val="24"/>
          <w:sz-cs w:val="24"/>
        </w:rPr>
        <w:t xml:space="preserve">приказом </w:t>
      </w:r>
      <w:r>
        <w:rPr>
          <w:rFonts w:ascii="Times New Roman" w:hAnsi="Times New Roman" w:cs="Times New Roman"/>
          <w:sz w:val="24"/>
          <w:sz-cs w:val="24"/>
        </w:rPr>
        <w:t xml:space="preserve">ООО «Кибероснова»</w:t>
      </w:r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>
        <w:jc w:val="both"/>
      </w:pPr>
      <w:r>
        <w:rPr>
          <w:rFonts w:ascii="Times New Roman" w:hAnsi="Times New Roman" w:cs="Times New Roman"/>
          <w:sz w:val="24"/>
          <w:sz-cs w:val="24"/>
        </w:rPr>
        <w:t xml:space="preserve">от </w:t>
        <w:t xml:space="preserve">25.09.2026</w:t>
        <w:t xml:space="preserve"> № </w:t>
        <w:t xml:space="preserve">___</w:t>
        <w:t xml:space="preserve"> </w:t>
      </w:r>
    </w:p>
    <w:p>
      <w:pPr>
        <w:jc w:val="center"/>
      </w:pPr>
      <w:r>
        <w:rPr>
          <w:rFonts w:ascii="Times New Roman" w:hAnsi="Times New Roman" w:cs="Times New Roman"/>
          <w:sz w:val="24"/>
          <w:sz-cs w:val="24"/>
          <w:b/>
        </w:rPr>
        <w:t xml:space="preserve"/>
      </w:r>
    </w:p>
    <w:p>
      <w:pPr>
        <w:jc w:val="center"/>
      </w:pPr>
      <w:r>
        <w:rPr>
          <w:rFonts w:ascii="Times New Roman" w:hAnsi="Times New Roman" w:cs="Times New Roman"/>
          <w:sz w:val="28"/>
          <w:sz-cs w:val="28"/>
          <w:b/>
        </w:rPr>
        <w:t xml:space="preserve">ПОРЯДОК</w:t>
      </w:r>
    </w:p>
    <w:p>
      <w:pPr/>
      <w:r>
        <w:rPr>
          <w:rFonts w:ascii="Times New Roman" w:hAnsi="Times New Roman" w:cs="Times New Roman"/>
          <w:sz w:val="24"/>
          <w:sz-cs w:val="24"/>
          <w:b/>
          <w:color w:val="000000"/>
        </w:rPr>
        <w:t xml:space="preserve">уничтожения персональных данных</w:t>
      </w:r>
    </w:p>
    <w:p>
      <w:pPr/>
      <w:r>
        <w:rPr>
          <w:rFonts w:ascii="Times New Roman" w:hAnsi="Times New Roman" w:cs="Times New Roman"/>
          <w:sz w:val="24"/>
          <w:sz-cs w:val="24"/>
          <w:b/>
          <w:color w:val="000000"/>
        </w:rPr>
        <w:t xml:space="preserve"/>
      </w:r>
    </w:p>
    <w:p>
      <w:pPr>
        <w:jc w:val="center"/>
        <w:ind w:left="720"/>
      </w:pPr>
      <w:r>
        <w:rPr>
          <w:rFonts w:ascii="Times New Roman" w:hAnsi="Times New Roman" w:cs="Times New Roman"/>
          <w:sz w:val="24"/>
          <w:sz-cs w:val="24"/>
          <w:b/>
        </w:rPr>
        <w:t xml:space="preserve">ОБЩИЕ ПОЛОЖЕНИЯ</w:t>
      </w:r>
    </w:p>
    <w:p>
      <w:pPr>
        <w:ind w:first-line="851"/>
      </w:pPr>
      <w:r>
        <w:rPr>
          <w:rFonts w:ascii="Times New Roman" w:hAnsi="Times New Roman" w:cs="Times New Roman"/>
          <w:sz w:val="24"/>
          <w:sz-cs w:val="24"/>
        </w:rPr>
        <w:t xml:space="preserve">Настоящий Порядок определяет условия и способы уничтожения персональных данных, содержащихся на бумажных и машинных носителях информации </w:t>
      </w:r>
      <w:r>
        <w:rPr>
          <w:rFonts w:ascii="Times New Roman" w:hAnsi="Times New Roman" w:cs="Times New Roman"/>
          <w:sz w:val="24"/>
          <w:sz-cs w:val="24"/>
        </w:rPr>
        <w:t xml:space="preserve">ООО «Кибероснова»</w:t>
        <w:t xml:space="preserve">.</w:t>
      </w:r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>
        <w:jc w:val="center"/>
        <w:ind w:left="720"/>
      </w:pPr>
      <w:r>
        <w:rPr>
          <w:rFonts w:ascii="Times New Roman" w:hAnsi="Times New Roman" w:cs="Times New Roman"/>
          <w:sz w:val="24"/>
          <w:sz-cs w:val="24"/>
          <w:b/>
        </w:rPr>
        <w:t xml:space="preserve">УНИЧТОЖЕНИЕ ПЕРСОНАЛЬНЫХ ДАННЫХ </w:t>
      </w:r>
    </w:p>
    <w:p>
      <w:pPr>
        <w:jc w:val="both"/>
        <w:ind w:first-line="851"/>
      </w:pPr>
      <w:r>
        <w:rPr>
          <w:rFonts w:ascii="Times New Roman" w:hAnsi="Times New Roman" w:cs="Times New Roman"/>
          <w:sz w:val="24"/>
          <w:sz-cs w:val="24"/>
        </w:rPr>
        <w:t xml:space="preserve">ООО «Кибероснова»</w:t>
      </w:r>
      <w:r>
        <w:rPr>
          <w:rFonts w:ascii="Times New Roman" w:hAnsi="Times New Roman" w:cs="Times New Roman"/>
          <w:sz w:val="24"/>
          <w:sz-cs w:val="24"/>
        </w:rPr>
        <w:t xml:space="preserve"> обязано уничтожить или обеспечить уничтожение персональных данных в случае:</w:t>
      </w:r>
    </w:p>
    <w:p>
      <w:pPr>
        <w:jc w:val="both"/>
        <w:ind w:first-line="993"/>
      </w:pPr>
      <w:r>
        <w:rPr>
          <w:rFonts w:ascii="Times New Roman" w:hAnsi="Times New Roman" w:cs="Times New Roman"/>
          <w:sz w:val="24"/>
          <w:sz-cs w:val="24"/>
        </w:rPr>
        <w:t xml:space="preserve">выявления неправомерной обработки персональных данных и при отсутствии возможности ее обеспечить в срок, не превышающий десяти рабочих дней с даты выявления неправомерной обработки персональных данных;</w:t>
      </w:r>
    </w:p>
    <w:p>
      <w:pPr>
        <w:jc w:val="both"/>
        <w:ind w:first-line="993"/>
      </w:pPr>
      <w:r>
        <w:rPr>
          <w:rFonts w:ascii="Times New Roman" w:hAnsi="Times New Roman" w:cs="Times New Roman"/>
          <w:sz w:val="24"/>
          <w:sz-cs w:val="24"/>
        </w:rPr>
        <w:t xml:space="preserve">достижения цели обработки персональных данных;</w:t>
      </w:r>
    </w:p>
    <w:p>
      <w:pPr>
        <w:jc w:val="both"/>
        <w:ind w:first-line="993"/>
      </w:pPr>
      <w:r>
        <w:rPr>
          <w:rFonts w:ascii="Times New Roman" w:hAnsi="Times New Roman" w:cs="Times New Roman"/>
          <w:sz w:val="24"/>
          <w:sz-cs w:val="24"/>
        </w:rPr>
        <w:t xml:space="preserve">передачи машинных носителей персональных данных между пользователями, в сторонние организации для ремонта или утилизации.</w:t>
      </w:r>
    </w:p>
    <w:p>
      <w:pPr>
        <w:jc w:val="both"/>
        <w:ind w:first-line="851"/>
      </w:pPr>
      <w:r>
        <w:rPr>
          <w:rFonts w:ascii="Times New Roman" w:hAnsi="Times New Roman" w:cs="Times New Roman"/>
          <w:sz w:val="24"/>
          <w:sz-cs w:val="24"/>
        </w:rPr>
        <w:t xml:space="preserve">Ответственный за обработку персональных данных должен осуществлять систематический контроль и выделение документов, содержащих персональные данные, с истекшим сроком хранения и подлежащих уничтожению.</w:t>
      </w:r>
    </w:p>
    <w:p>
      <w:pPr>
        <w:jc w:val="both"/>
        <w:ind w:first-line="851"/>
      </w:pPr>
      <w:r>
        <w:rPr>
          <w:rFonts w:ascii="Times New Roman" w:hAnsi="Times New Roman" w:cs="Times New Roman"/>
          <w:sz w:val="24"/>
          <w:sz-cs w:val="24"/>
        </w:rPr>
        <w:t xml:space="preserve">В случаях достижения цели обработки персональных данных, отзыва субъектом персональных данных согласия на обработку его персональных данных, выявления неправомерной обработки персональных данных, осуществляемой </w:t>
        <w:t xml:space="preserve">ООО «Кибероснова»</w:t>
        <w:t xml:space="preserve"> или лицом, действующим по поручению </w:t>
        <w:t xml:space="preserve">ООО «Кибероснова»</w:t>
        <w:t xml:space="preserve">, </w:t>
        <w:t xml:space="preserve">ООО «Кибероснова»</w:t>
        <w:t xml:space="preserve"> обязано уничтожить такие персональные данные или обеспечить их уничтожение. Подтверждение уничтожения персональных данных в указанных случаях осуществляется в соответствии с требованиями, установленными Роскомнадзором, актом об уничтожении персональных данных и выгрузкой из журнала регистрации событий в информационной системе персональных данных (при обработке персональных данных с использованием средств автоматизации).</w:t>
      </w:r>
    </w:p>
    <w:p>
      <w:pPr>
        <w:jc w:val="both"/>
        <w:ind w:first-line="851"/>
      </w:pPr>
      <w:r>
        <w:rPr>
          <w:rFonts w:ascii="Times New Roman" w:hAnsi="Times New Roman" w:cs="Times New Roman"/>
          <w:sz w:val="24"/>
          <w:sz-cs w:val="24"/>
        </w:rPr>
        <w:t xml:space="preserve">Документом, подтверждающим уничтожение персональных данных субъектов персональных данных, обрабатываемых </w:t>
        <w:t xml:space="preserve">ООО «Кибероснова»</w:t>
        <w:t xml:space="preserve"> без использования средств автоматизации, является «Акт уничтожения носителя персональных данных».</w:t>
      </w:r>
    </w:p>
    <w:p>
      <w:pPr>
        <w:jc w:val="both"/>
        <w:ind w:first-line="851"/>
      </w:pPr>
      <w:r>
        <w:rPr>
          <w:rFonts w:ascii="Times New Roman" w:hAnsi="Times New Roman" w:cs="Times New Roman"/>
          <w:sz w:val="24"/>
          <w:sz-cs w:val="24"/>
        </w:rPr>
        <w:t xml:space="preserve">Документом, подтверждающим уничтожение персональных данных субъектов персональных данных, обрабатываемых </w:t>
        <w:t xml:space="preserve">ООО «Кибероснова»</w:t>
        <w:t xml:space="preserve"> без использования средств автоматизации, является «Акт уничтожения персональных данных субъектов из информационной системе персональных данных» и выгрузка из журнала регистрации событий в информационной системе персональных данных.</w:t>
      </w:r>
    </w:p>
    <w:p>
      <w:pPr>
        <w:jc w:val="both"/>
        <w:ind w:first-line="851"/>
      </w:pPr>
      <w:r>
        <w:rPr>
          <w:rFonts w:ascii="Times New Roman" w:hAnsi="Times New Roman" w:cs="Times New Roman"/>
          <w:sz w:val="24"/>
          <w:sz-cs w:val="24"/>
        </w:rPr>
        <w:t xml:space="preserve">Уничтожение персональных данных осуществляется комиссией по уничтожению. Комиссию возглавляет ответственный за организацию обработки персональных данных в </w:t>
        <w:t xml:space="preserve">ООО «Кибероснова»</w:t>
        <w:t xml:space="preserve">. Должностные лица, уничтожившие персональные данные субъекта персональных данных, должны быть в составе Комиссии по уничтожению.</w:t>
      </w:r>
    </w:p>
    <w:p>
      <w:pPr>
        <w:jc w:val="both"/>
        <w:ind w:first-line="851"/>
      </w:pPr>
      <w:r>
        <w:rPr>
          <w:rFonts w:ascii="Times New Roman" w:hAnsi="Times New Roman" w:cs="Times New Roman"/>
          <w:sz w:val="24"/>
          <w:sz-cs w:val="24"/>
        </w:rPr>
        <w:t xml:space="preserve">Уничтожение персональных данных субъектов персональных данных может осуществляться уничтожением материальных или машинных носителей, уничтожением персональных данных из информационных систем персональных данных:</w:t>
      </w:r>
    </w:p>
    <w:p>
      <w:pPr>
        <w:jc w:val="both"/>
        <w:ind w:first-line="1440"/>
      </w:pPr>
      <w:r>
        <w:rPr>
          <w:rFonts w:ascii="Times New Roman" w:hAnsi="Times New Roman" w:cs="Times New Roman"/>
          <w:sz w:val="24"/>
          <w:sz-cs w:val="24"/>
        </w:rPr>
        <w:t xml:space="preserve">Уничтожение бумажных носителей осуществляется путем сожжения, измельчения или их химического разложения.</w:t>
      </w:r>
    </w:p>
    <w:p>
      <w:pPr>
        <w:jc w:val="both"/>
        <w:ind w:first-line="1440"/>
      </w:pPr>
      <w:r>
        <w:rPr>
          <w:rFonts w:ascii="Times New Roman" w:hAnsi="Times New Roman" w:cs="Times New Roman"/>
          <w:sz w:val="24"/>
          <w:sz-cs w:val="24"/>
        </w:rPr>
        <w:t xml:space="preserve">Уничтожение машинных носителей, содержащих персональные данные, осуществляется путем деформирования, нарушения единой целостности носителя или его сожжения.</w:t>
      </w:r>
    </w:p>
    <w:p>
      <w:pPr>
        <w:jc w:val="both"/>
        <w:ind w:first-line="1440"/>
      </w:pPr>
      <w:r>
        <w:rPr>
          <w:rFonts w:ascii="Times New Roman" w:hAnsi="Times New Roman" w:cs="Times New Roman"/>
          <w:sz w:val="24"/>
          <w:sz-cs w:val="24"/>
        </w:rPr>
        <w:t xml:space="preserve">В </w:t>
      </w:r>
      <w:r>
        <w:rPr>
          <w:rFonts w:ascii="Times New Roman" w:hAnsi="Times New Roman" w:cs="Times New Roman"/>
          <w:sz w:val="24"/>
          <w:sz-cs w:val="24"/>
        </w:rPr>
        <w:t xml:space="preserve">случае уничтожения машинного носителя персональных данных факт уничтожения также фиксируется в «Журнале учета машинных носителей персональных данных», где в графе </w:t>
        <w:t xml:space="preserve">«Дата и номер акта уничтожения»</w:t>
        <w:t xml:space="preserve"> заносятся соответствующие данные.</w:t>
      </w:r>
    </w:p>
    <w:p>
      <w:pPr>
        <w:jc w:val="both"/>
        <w:ind w:first-line="1440"/>
      </w:pPr>
      <w:r>
        <w:rPr>
          <w:rFonts w:ascii="Times New Roman" w:hAnsi="Times New Roman" w:cs="Times New Roman"/>
          <w:sz w:val="24"/>
          <w:sz-cs w:val="24"/>
        </w:rPr>
        <w:t xml:space="preserve">Уничтожение персональных данных из информационных систем персональных данных подтверждается выгрузкой из журнала регистрации событий в информационной системе персональных данных.</w:t>
      </w:r>
    </w:p>
    <w:p>
      <w:pPr>
        <w:jc w:val="both"/>
        <w:ind w:first-line="851"/>
      </w:pPr>
      <w:r>
        <w:rPr>
          <w:rFonts w:ascii="Times New Roman" w:hAnsi="Times New Roman" w:cs="Times New Roman"/>
          <w:sz w:val="24"/>
          <w:sz-cs w:val="24"/>
        </w:rPr>
        <w:t xml:space="preserve">Выгрузка из журнала регистрации событий в информационной системе персональных данных, подтверждающая уничтожение персональных данных субъектов персональных данных, должна содержать:</w:t>
      </w:r>
    </w:p>
    <w:p>
      <w:pPr>
        <w:jc w:val="both"/>
        <w:ind w:first-line="1440"/>
      </w:pPr>
      <w:r>
        <w:rPr>
          <w:rFonts w:ascii="Times New Roman" w:hAnsi="Times New Roman" w:cs="Times New Roman"/>
          <w:sz w:val="24"/>
          <w:sz-cs w:val="24"/>
        </w:rPr>
        <w:t xml:space="preserve">фамилию, имя, отчество (при наличии) субъекта(ов) или иную информацию, относящуюся к определенному(ым) физическому(им) лицу(ам), чьи персональные данные были уничтожены;</w:t>
      </w:r>
    </w:p>
    <w:p>
      <w:pPr>
        <w:jc w:val="both"/>
        <w:ind w:first-line="1440"/>
      </w:pPr>
      <w:r>
        <w:rPr>
          <w:rFonts w:ascii="Times New Roman" w:hAnsi="Times New Roman" w:cs="Times New Roman"/>
          <w:sz w:val="24"/>
          <w:sz-cs w:val="24"/>
        </w:rPr>
        <w:t xml:space="preserve">перечень уничтоженных персональных данных субъекта(ов);</w:t>
      </w:r>
    </w:p>
    <w:p>
      <w:pPr>
        <w:jc w:val="both"/>
        <w:ind w:first-line="1440"/>
      </w:pPr>
      <w:r>
        <w:rPr>
          <w:rFonts w:ascii="Times New Roman" w:hAnsi="Times New Roman" w:cs="Times New Roman"/>
          <w:sz w:val="24"/>
          <w:sz-cs w:val="24"/>
        </w:rPr>
        <w:t xml:space="preserve">наименование информационной системы персональных данных, из которой были уничтожены персональные данные субъекта(ов) персональных данных;</w:t>
      </w:r>
    </w:p>
    <w:p>
      <w:pPr>
        <w:jc w:val="both"/>
        <w:ind w:first-line="1440"/>
      </w:pPr>
      <w:r>
        <w:rPr>
          <w:rFonts w:ascii="Times New Roman" w:hAnsi="Times New Roman" w:cs="Times New Roman"/>
          <w:sz w:val="24"/>
          <w:sz-cs w:val="24"/>
        </w:rPr>
        <w:t xml:space="preserve">причину уничтожения персональных данных;</w:t>
      </w:r>
    </w:p>
    <w:p>
      <w:pPr>
        <w:jc w:val="both"/>
        <w:ind w:first-line="1440"/>
      </w:pPr>
      <w:r>
        <w:rPr>
          <w:rFonts w:ascii="Times New Roman" w:hAnsi="Times New Roman" w:cs="Times New Roman"/>
          <w:sz w:val="24"/>
          <w:sz-cs w:val="24"/>
        </w:rPr>
        <w:t xml:space="preserve">дату уничтожения персональных данных субъекта(ов).</w:t>
      </w:r>
    </w:p>
    <w:p>
      <w:pPr>
        <w:jc w:val="both"/>
        <w:ind w:first-line="851"/>
      </w:pPr>
      <w:r>
        <w:rPr>
          <w:rFonts w:ascii="Times New Roman" w:hAnsi="Times New Roman" w:cs="Times New Roman"/>
          <w:sz w:val="24"/>
          <w:sz-cs w:val="24"/>
        </w:rPr>
        <w:t xml:space="preserve">В случае привлечения сторонней организации для уничтожения материальных носителей, имеющей необходимую производственную базу для обеспечения установленного порядка уничтожения документов, ответственный за организацию обработки персональных данных сопровождает носители до места уничтожения и присутствует при процедуре уничтожения документов. При этом составляются соответствующие акты об уничтожении, подтверждающие факт уничтожения персональных данных.</w:t>
      </w:r>
    </w:p>
    <w:p>
      <w:pPr>
        <w:jc w:val="both"/>
        <w:ind w:first-line="851"/>
      </w:pPr>
      <w:r>
        <w:rPr>
          <w:rFonts w:ascii="Times New Roman" w:hAnsi="Times New Roman" w:cs="Times New Roman"/>
          <w:sz w:val="24"/>
          <w:sz-cs w:val="24"/>
        </w:rPr>
        <w:t xml:space="preserve">Акт об уничтожении персональных данных и (или) выгрузка из журнала подлежат хранению в течение 3 лет с момента уничтожения персональных данных.</w:t>
      </w:r>
    </w:p>
    <w:p>
      <w:pPr/>
      <w:r>
        <w:rPr>
          <w:rFonts w:ascii="Times New Roman" w:hAnsi="Times New Roman" w:cs="Times New Roman"/>
          <w:sz w:val="28"/>
          <w:sz-cs w:val="28"/>
        </w:rPr>
        <w:t xml:space="preserve"/>
      </w:r>
    </w:p>
    <w:p>
      <w:pPr/>
      <w:r>
        <w:rPr>
          <w:rFonts w:ascii="Times New Roman" w:hAnsi="Times New Roman" w:cs="Times New Roman"/>
          <w:sz w:val="28"/>
          <w:sz-cs w:val="28"/>
        </w:rPr>
        <w:t xml:space="preserve"/>
      </w:r>
    </w:p>
    <w:p>
      <w:pPr/>
      <w:r>
        <w:rPr>
          <w:rFonts w:ascii="Times New Roman" w:hAnsi="Times New Roman" w:cs="Times New Roman"/>
          <w:sz w:val="28"/>
          <w:sz-cs w:val="28"/>
        </w:rPr>
        <w:t xml:space="preserve"/>
      </w:r>
    </w:p>
    <w:p>
      <w:pPr/>
      <w:r>
        <w:rPr>
          <w:rFonts w:ascii="Times New Roman" w:hAnsi="Times New Roman" w:cs="Times New Roman"/>
          <w:sz w:val="28"/>
          <w:sz-cs w:val="28"/>
        </w:rPr>
        <w:t xml:space="preserve"/>
      </w:r>
    </w:p>
    <w:p>
      <w:pPr/>
      <w:r>
        <w:rPr>
          <w:rFonts w:ascii="Times New Roman" w:hAnsi="Times New Roman" w:cs="Times New Roman"/>
          <w:sz w:val="28"/>
          <w:sz-cs w:val="28"/>
        </w:rPr>
        <w:t xml:space="preserve"/>
      </w:r>
    </w:p>
    <w:p>
      <w:pPr/>
      <w:r>
        <w:rPr>
          <w:rFonts w:ascii="Times New Roman" w:hAnsi="Times New Roman" w:cs="Times New Roman"/>
          <w:sz w:val="28"/>
          <w:sz-cs w:val="28"/>
        </w:rPr>
        <w:t xml:space="preserve"/>
      </w:r>
    </w:p>
    <w:p>
      <w:pPr/>
      <w:r>
        <w:rPr>
          <w:rFonts w:ascii="Times New Roman" w:hAnsi="Times New Roman" w:cs="Times New Roman"/>
          <w:sz w:val="28"/>
          <w:sz-cs w:val="28"/>
        </w:rPr>
        <w:t xml:space="preserve"/>
      </w:r>
    </w:p>
    <w:p>
      <w:pPr/>
      <w:r>
        <w:rPr>
          <w:rFonts w:ascii="Times New Roman" w:hAnsi="Times New Roman" w:cs="Times New Roman"/>
          <w:sz w:val="28"/>
          <w:sz-cs w:val="28"/>
        </w:rPr>
        <w:t xml:space="preserve"/>
      </w:r>
    </w:p>
    <w:p>
      <w:pPr>
        <w:jc w:val="center"/>
      </w:pPr>
      <w:r>
        <w:rPr>
          <w:rFonts w:ascii="Times New Roman" w:hAnsi="Times New Roman" w:cs="Times New Roman"/>
          <w:sz w:val="24"/>
          <w:sz-cs w:val="24"/>
        </w:rPr>
        <w:t>1</w:t>
      </w:r>
    </w:p>
    <w:p>
      <w:pPr/>
      <w:r>
        <w:rPr>
          <w:rFonts w:ascii="Times New Roman" w:hAnsi="Times New Roman" w:cs="Times New Roman"/>
          <w:sz w:val="28"/>
          <w:sz-cs w:val="28"/>
        </w:rPr>
        <w:t xml:space="preserve"/>
      </w:r>
    </w:p>
    <w:p>
      <w:pPr/>
      <w:r>
        <w:rPr>
          <w:rFonts w:ascii="Times New Roman" w:hAnsi="Times New Roman" w:cs="Times New Roman"/>
          <w:sz w:val="28"/>
          <w:sz-cs w:val="28"/>
        </w:rPr>
        <w:t xml:space="preserve"/>
      </w:r>
    </w:p>
    <w:p>
      <w:pPr>
        <w:jc w:val="center"/>
      </w:pPr>
      <w:r>
        <w:rPr>
          <w:rFonts w:ascii="Times New Roman" w:hAnsi="Times New Roman" w:cs="Times New Roman"/>
          <w:sz w:val="24"/>
          <w:sz-cs w:val="24"/>
        </w:rPr>
        <w:t xml:space="preserve"/>
      </w:r>
    </w:p>
    <w:p>
      <w:pPr/>
      <w:r>
        <w:rPr>
          <w:rFonts w:ascii="Times New Roman" w:hAnsi="Times New Roman" w:cs="Times New Roman"/>
          <w:sz w:val="28"/>
          <w:sz-cs w:val="28"/>
        </w:rPr>
        <w:t xml:space="preserve"/>
      </w:r>
    </w:p>
    <w:p>
      <w:pPr>
        <w:jc w:val="center"/>
      </w:pPr>
      <w:r>
        <w:rPr>
          <w:rFonts w:ascii="Times New Roman" w:hAnsi="Times New Roman" w:cs="Times New Roman"/>
          <w:sz w:val="20"/>
          <w:sz-cs w:val="20"/>
        </w:rPr>
        <w:t xml:space="preserve"/>
      </w:r>
    </w:p>
    <w:p>
      <w:pPr/>
      <w:r>
        <w:rPr>
          <w:rFonts w:ascii="Times New Roman" w:hAnsi="Times New Roman" w:cs="Times New Roman"/>
          <w:sz w:val="20"/>
          <w:sz-cs w:val="20"/>
        </w:rPr>
        <w:t xml:space="preserve"/>
      </w:r>
    </w:p>
    <w:p>
      <w:pPr/>
      <w:r>
        <w:rPr>
          <w:rFonts w:ascii="Times New Roman" w:hAnsi="Times New Roman" w:cs="Times New Roman"/>
          <w:sz w:val="28"/>
          <w:sz-cs w:val="28"/>
        </w:rPr>
        <w:t xml:space="preserve"/>
      </w:r>
    </w:p>
    <w:p>
      <w:pPr/>
      <w:r>
        <w:rPr>
          <w:rFonts w:ascii="Times New Roman" w:hAnsi="Times New Roman" w:cs="Times New Roman"/>
          <w:sz w:val="28"/>
          <w:sz-cs w:val="28"/>
        </w:rPr>
        <w:t xml:space="preserve"/>
      </w:r>
    </w:p>
    <w:p>
      <w:pPr>
        <w:jc w:val="both"/>
        <w:ind w:first-line="851"/>
      </w:pPr>
      <w:r>
        <w:rPr>
          <w:rFonts w:ascii="Times New Roman" w:hAnsi="Times New Roman" w:cs="Times New Roman"/>
          <w:sz w:val="24"/>
          <w:sz-cs w:val="24"/>
        </w:rPr>
        <w:t xml:space="preserve"/>
      </w:r>
    </w:p>
    <w:sectPr>
      <w:pgSz w:w="12240" w:h="15840"/>
      <w:pgMar w:top="1440" w:right="1800" w:bottom="1440" w:left="18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52FD2"/>
    <w:multiLevelType w:val="hybridMultilevel"/>
    <w:tmpl w:val="0A4EC444"/>
    <w:lvl w:ilvl="0" w:tplc="1F1E3656">
      <w:start w:val="1"/>
      <w:numFmt w:val="bullet"/>
      <w:suff w:val="nothing"/>
      <w:lvlText w:val=""/>
      <w:lvlJc w:val="left"/>
      <w:pPr>
        <w:ind w:left="149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1" w15:restartNumberingAfterBreak="0">
    <w:nsid w:val="291E2326"/>
    <w:multiLevelType w:val="multilevel"/>
    <w:tmpl w:val="82CE793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5785"/>
    <w:rsid w:val="00156248"/>
    <w:rsid w:val="00180033"/>
    <w:rsid w:val="001B0834"/>
    <w:rsid w:val="00345D9B"/>
    <w:rsid w:val="003E3B5F"/>
    <w:rsid w:val="0041223A"/>
    <w:rsid w:val="00751E7B"/>
    <w:rsid w:val="007F7A51"/>
    <w:rsid w:val="00831793"/>
    <w:rsid w:val="009514B8"/>
    <w:rsid w:val="009C3390"/>
    <w:rsid w:val="00AF4238"/>
    <w:rsid w:val="00B05968"/>
    <w:rsid w:val="00D532AF"/>
    <w:rsid w:val="00D85785"/>
    <w:rsid w:val="00DC10A1"/>
    <w:rsid w:val="00F83957"/>
    <w:rsid w:val="00FE2A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A12331"/>
  <w15:chartTrackingRefBased/>
  <w15:docId w15:val="{EED653D8-442F-494E-8258-EBCFA28FB8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E3B5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FE2AB7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FE2AB7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FE2AB7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FE2AB7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FE2AB7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FE2AB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FE2AB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customXml" Target="../docProps/meta.xml"/><Relationship Id="rId2" Type="http://schemas.openxmlformats.org/officeDocument/2006/relationships/theme" Target="theme/theme1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fontTable" Target="fontTable.xml"/><Relationship Id="rId6" Type="http://schemas.openxmlformats.org/officeDocument/2006/relationships/numbering" Target="numbering.xml"/><Relationship Id="rId7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Company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Кибероснова Документы</dc:creator>
  <cp:lastModifiedBy/>
  <cp:revision>1</cp:revision>
  <dcterms:created xsi:type="dcterms:W3CDTF">2026-01-01T00:00:00Z</dcterms:created>
  <dcterms:modified xsi:type="dcterms:W3CDTF">2026-01-01T00:00:00Z</dcterms:modified>
</cp:coreProperties>
</file>

<file path=docProps/meta.xml><?xml version="1.0" encoding="utf-8"?>
<meta xmlns="http://schemas.apple.com/cocoa/2006/metadata">
  <generator>CocoaOOXMLWriter/2487.7</generator>
</meta>
</file>